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keepNext w:val="1"/>
        <w:numPr>
          <w:ilvl w:val="0"/>
          <w:numId w:val="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keepNext w:val="1"/>
        <w:numPr>
          <w:ilvl w:val="1"/>
          <w:numId w:val="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"Employee Liability"</w:t>
            </w:r>
            <w:r w:rsidDel="00000000" w:rsidR="00000000" w:rsidRPr="00000000">
              <w:rPr>
                <w:rtl w:val="0"/>
              </w:rPr>
            </w:r>
          </w:p>
        </w:tc>
        <w:tc>
          <w:tcPr/>
          <w:p w:rsidR="00000000" w:rsidDel="00000000" w:rsidP="00000000" w:rsidRDefault="00000000" w:rsidRPr="00000000" w14:paraId="00000007">
            <w:pPr>
              <w:numPr>
                <w:ilvl w:val="0"/>
                <w:numId w:val="3"/>
              </w:numPr>
              <w:tabs>
                <w:tab w:val="left" w:leader="none" w:pos="-179"/>
                <w:tab w:val="left" w:leader="none" w:pos="-9"/>
              </w:tabs>
              <w:spacing w:after="120" w:lineRule="auto"/>
              <w:ind w:left="170" w:hanging="17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8">
            <w:pPr>
              <w:numPr>
                <w:ilvl w:val="1"/>
                <w:numId w:val="3"/>
              </w:numPr>
              <w:tabs>
                <w:tab w:val="left" w:leader="none" w:pos="-576"/>
                <w:tab w:val="left" w:leader="none"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A">
            <w:pPr>
              <w:numPr>
                <w:ilvl w:val="1"/>
                <w:numId w:val="3"/>
              </w:numPr>
              <w:tabs>
                <w:tab w:val="left" w:leader="none" w:pos="-576"/>
                <w:tab w:val="left" w:leader="none"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numPr>
                <w:ilvl w:val="1"/>
                <w:numId w:val="3"/>
              </w:numPr>
              <w:tabs>
                <w:tab w:val="left" w:leader="none" w:pos="-576"/>
                <w:tab w:val="left" w:leader="none"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E">
            <w:pPr>
              <w:numPr>
                <w:ilvl w:val="1"/>
                <w:numId w:val="3"/>
              </w:numPr>
              <w:tabs>
                <w:tab w:val="left" w:leader="none" w:pos="-576"/>
                <w:tab w:val="left" w:leader="none"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0">
            <w:pPr>
              <w:numPr>
                <w:ilvl w:val="1"/>
                <w:numId w:val="3"/>
              </w:numPr>
              <w:tabs>
                <w:tab w:val="left" w:leader="none" w:pos="-576"/>
                <w:tab w:val="left" w:leader="none"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rPr>
          <w:cantSplit w:val="0"/>
          <w:tblHeader w:val="0"/>
        </w:trPr>
        <w:tc>
          <w:tcPr/>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2">
            <w:pPr>
              <w:numPr>
                <w:ilvl w:val="1"/>
                <w:numId w:val="3"/>
              </w:numPr>
              <w:tabs>
                <w:tab w:val="left" w:leader="none" w:pos="-576"/>
                <w:tab w:val="left" w:leader="none"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left="706"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investigation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 or 10.6 (When the Supplier can end the contract);</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34"/>
              </w:tabs>
              <w:spacing w:after="120" w:before="120" w:lineRule="auto"/>
              <w:jc w:val="left"/>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34"/>
              </w:tabs>
              <w:spacing w:after="120" w:before="120" w:lineRule="auto"/>
              <w:jc w:val="left"/>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and for the purposes of Part D: Pensions, shall include the Commencement Date, where appropriate;</w:t>
            </w: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Personnel whose will transfer under the Employment Regulations on the Service Transfer Date;</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jc w:val="left"/>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 and whose names are provided to the Supplier on or prior to the Relevant Transfer Date.</w:t>
            </w:r>
            <w:r w:rsidDel="00000000" w:rsidR="00000000" w:rsidRPr="00000000">
              <w:rPr>
                <w:rtl w:val="0"/>
              </w:rPr>
            </w:r>
          </w:p>
        </w:tc>
      </w:tr>
    </w:tbl>
    <w:p w:rsidR="00000000" w:rsidDel="00000000" w:rsidP="00000000" w:rsidRDefault="00000000" w:rsidRPr="00000000" w14:paraId="0000003C">
      <w:pPr>
        <w:keepNext w:val="1"/>
        <w:numPr>
          <w:ilvl w:val="0"/>
          <w:numId w:val="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3D">
      <w:pPr>
        <w:ind w:left="357"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E">
      <w:pPr>
        <w:keepNext w:val="1"/>
        <w:numPr>
          <w:ilvl w:val="0"/>
          <w:numId w:val="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3F">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0">
      <w:pPr>
        <w:numPr>
          <w:ilvl w:val="1"/>
          <w:numId w:val="17"/>
        </w:numPr>
        <w:spacing w:after="0" w:line="259" w:lineRule="auto"/>
        <w:ind w:left="14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Part C (No Staff Transfer On Start Date)</w:t>
      </w:r>
    </w:p>
    <w:p w:rsidR="00000000" w:rsidDel="00000000" w:rsidP="00000000" w:rsidRDefault="00000000" w:rsidRPr="00000000" w14:paraId="00000041">
      <w:pPr>
        <w:numPr>
          <w:ilvl w:val="1"/>
          <w:numId w:val="17"/>
        </w:numPr>
        <w:spacing w:after="0" w:line="259" w:lineRule="auto"/>
        <w:ind w:left="14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Part E (Staff Transfer on Exit)</w:t>
      </w:r>
    </w:p>
    <w:p w:rsidR="00000000" w:rsidDel="00000000" w:rsidP="00000000" w:rsidRDefault="00000000" w:rsidRPr="00000000" w14:paraId="00000042">
      <w:pPr>
        <w:ind w:left="357"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Style w:val="Heading1"/>
        <w:keepNext w:val="1"/>
        <w:ind w:left="720" w:hanging="720"/>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 Start Date </w:t>
      </w:r>
    </w:p>
    <w:p w:rsidR="00000000" w:rsidDel="00000000" w:rsidP="00000000" w:rsidRDefault="00000000" w:rsidRPr="00000000" w14:paraId="00000044">
      <w:pPr>
        <w:pStyle w:val="Heading1"/>
        <w:keepNext w:val="1"/>
        <w:ind w:left="720" w:hanging="720"/>
        <w:jc w:val="left"/>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Outsourcing from the Buyer </w:t>
      </w:r>
      <w:r w:rsidDel="00000000" w:rsidR="00000000" w:rsidRPr="00000000">
        <w:rPr>
          <w:rtl w:val="0"/>
        </w:rPr>
      </w:r>
    </w:p>
    <w:p w:rsidR="00000000" w:rsidDel="00000000" w:rsidP="00000000" w:rsidRDefault="00000000" w:rsidRPr="00000000" w14:paraId="00000045">
      <w:pPr>
        <w:keepNext w:val="1"/>
        <w:numPr>
          <w:ilvl w:val="0"/>
          <w:numId w:val="1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46">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47">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8">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9">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r w:rsidDel="00000000" w:rsidR="00000000" w:rsidRPr="00000000">
        <w:rPr>
          <w:rtl w:val="0"/>
        </w:rPr>
      </w:r>
    </w:p>
    <w:p w:rsidR="00000000" w:rsidDel="00000000" w:rsidP="00000000" w:rsidRDefault="00000000" w:rsidRPr="00000000" w14:paraId="0000004A">
      <w:pPr>
        <w:keepNext w:val="1"/>
        <w:numPr>
          <w:ilvl w:val="0"/>
          <w:numId w:val="1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bookmarkStart w:colFirst="0" w:colLast="0" w:name="_heading=h.1fob9te" w:id="1"/>
      <w:bookmarkEnd w:id="1"/>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4D">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the Supplier will, within 5 Working Days of becoming aware of that fact, notify the Buyer in writing;</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the Buyer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employment is accepted, the Supplier shall immediately release the person from its employment;</w:t>
      </w:r>
    </w:p>
    <w:p w:rsidR="00000000" w:rsidDel="00000000" w:rsidP="00000000" w:rsidRDefault="00000000" w:rsidRPr="00000000" w14:paraId="00000051">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2">
      <w:pPr>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000000" w:rsidDel="00000000" w:rsidP="00000000" w:rsidRDefault="00000000" w:rsidRPr="00000000" w14:paraId="00000053">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s8eyo1" w:id="8"/>
      <w:bookmarkEnd w:id="8"/>
      <w:r w:rsidDel="00000000" w:rsidR="00000000" w:rsidRPr="00000000">
        <w:rPr>
          <w:rFonts w:ascii="Arial" w:cs="Arial" w:eastAsia="Arial" w:hAnsi="Arial"/>
          <w:color w:val="000000"/>
          <w:sz w:val="24"/>
          <w:szCs w:val="24"/>
          <w:rtl w:val="0"/>
        </w:rPr>
        <w:t xml:space="preserve">The indemnity in Paragraph 2.3 shall not apply to any claim:</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6">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7">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58">
      <w:pPr>
        <w:keepNext w:val="1"/>
        <w:numPr>
          <w:ilvl w:val="0"/>
          <w:numId w:val="1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3rdcrjn" w:id="10"/>
      <w:bookmarkEnd w:id="10"/>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59">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6in1rg" w:id="11"/>
      <w:bookmarkEnd w:id="11"/>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5A">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lnxbz9" w:id="12"/>
      <w:bookmarkEnd w:id="12"/>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5B">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5C">
      <w:pPr>
        <w:keepNext w:val="1"/>
        <w:numPr>
          <w:ilvl w:val="0"/>
          <w:numId w:val="1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5D">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5E">
      <w:pPr>
        <w:keepNext w:val="1"/>
        <w:numPr>
          <w:ilvl w:val="0"/>
          <w:numId w:val="1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5nkun2" w:id="13"/>
      <w:bookmarkEnd w:id="13"/>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0">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ksv4uv" w:id="14"/>
      <w:bookmarkEnd w:id="14"/>
      <w:r w:rsidDel="00000000" w:rsidR="00000000" w:rsidRPr="00000000">
        <w:rPr>
          <w:rFonts w:ascii="Arial" w:cs="Arial" w:eastAsia="Arial" w:hAnsi="Arial"/>
          <w:color w:val="000000"/>
          <w:sz w:val="24"/>
          <w:szCs w:val="24"/>
          <w:rtl w:val="0"/>
        </w:rPr>
        <w:t xml:space="preserve">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1">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2">
      <w:pPr>
        <w:keepNext w:val="1"/>
        <w:numPr>
          <w:ilvl w:val="0"/>
          <w:numId w:val="1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63">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w:t>
      </w:r>
    </w:p>
    <w:p w:rsidR="00000000" w:rsidDel="00000000" w:rsidP="00000000" w:rsidRDefault="00000000" w:rsidRPr="00000000" w14:paraId="00000064">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pension obligations in respect of all Transferring Buyer Employees; and</w:t>
      </w:r>
    </w:p>
    <w:p w:rsidR="00000000" w:rsidDel="00000000" w:rsidP="00000000" w:rsidRDefault="00000000" w:rsidRPr="00000000" w14:paraId="00000065">
      <w:pPr>
        <w:numPr>
          <w:ilvl w:val="2"/>
          <w:numId w:val="1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in Part D: Pensions.</w:t>
      </w:r>
    </w:p>
    <w:p w:rsidR="00000000" w:rsidDel="00000000" w:rsidP="00000000" w:rsidRDefault="00000000" w:rsidRPr="00000000" w14:paraId="00000066">
      <w:pPr>
        <w:pStyle w:val="Heading1"/>
        <w:ind w:left="720" w:hanging="720"/>
        <w:jc w:val="left"/>
        <w:rPr>
          <w:rFonts w:ascii="Arial" w:cs="Arial" w:eastAsia="Arial" w:hAnsi="Arial"/>
          <w:b w:val="1"/>
          <w:sz w:val="36"/>
          <w:szCs w:val="36"/>
        </w:rPr>
      </w:pPr>
      <w:bookmarkStart w:colFirst="0" w:colLast="0" w:name="_heading=h.44sinio" w:id="15"/>
      <w:bookmarkEnd w:id="15"/>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67">
      <w:pPr>
        <w:pStyle w:val="Heading1"/>
        <w:ind w:left="720" w:hanging="72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on Re-procurement</w:t>
      </w:r>
    </w:p>
    <w:p w:rsidR="00000000" w:rsidDel="00000000" w:rsidP="00000000" w:rsidRDefault="00000000" w:rsidRPr="00000000" w14:paraId="00000068">
      <w:pPr>
        <w:keepNext w:val="1"/>
        <w:numPr>
          <w:ilvl w:val="0"/>
          <w:numId w:val="16"/>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69">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A">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6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jxsxqh" w:id="16"/>
      <w:bookmarkEnd w:id="16"/>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000000" w:rsidDel="00000000" w:rsidP="00000000" w:rsidRDefault="00000000" w:rsidRPr="00000000" w14:paraId="0000006D">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z337ya" w:id="17"/>
      <w:bookmarkEnd w:id="17"/>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6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6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j2qqm3" w:id="18"/>
      <w:bookmarkEnd w:id="18"/>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0">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y810tw" w:id="19"/>
      <w:bookmarkEnd w:id="19"/>
      <w:r w:rsidDel="00000000" w:rsidR="00000000" w:rsidRPr="00000000">
        <w:rPr>
          <w:rFonts w:ascii="Arial" w:cs="Arial" w:eastAsia="Arial" w:hAnsi="Arial"/>
          <w:color w:val="000000"/>
          <w:sz w:val="24"/>
          <w:szCs w:val="24"/>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rsidR="00000000" w:rsidDel="00000000" w:rsidP="00000000" w:rsidRDefault="00000000" w:rsidRPr="00000000" w14:paraId="00000071">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4i7ojhp" w:id="20"/>
      <w:bookmarkEnd w:id="20"/>
      <w:r w:rsidDel="00000000" w:rsidR="00000000" w:rsidRPr="00000000">
        <w:rPr>
          <w:rFonts w:ascii="Arial" w:cs="Arial" w:eastAsia="Arial" w:hAnsi="Arial"/>
          <w:color w:val="000000"/>
          <w:sz w:val="24"/>
          <w:szCs w:val="24"/>
          <w:rtl w:val="0"/>
        </w:rPr>
        <w:t xml:space="preserve">the Supplier will within 5 Working Days of becoming aware of that fact notify the Buyer and the relevant Former Supplier in writing;</w:t>
      </w:r>
    </w:p>
    <w:p w:rsidR="00000000" w:rsidDel="00000000" w:rsidP="00000000" w:rsidRDefault="00000000" w:rsidRPr="00000000" w14:paraId="00000072">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xcytpi" w:id="21"/>
      <w:bookmarkEnd w:id="21"/>
      <w:r w:rsidDel="00000000" w:rsidR="00000000" w:rsidRPr="00000000">
        <w:rPr>
          <w:rFonts w:ascii="Arial" w:cs="Arial" w:eastAsia="Arial" w:hAnsi="Arial"/>
          <w:color w:val="000000"/>
          <w:sz w:val="24"/>
          <w:szCs w:val="24"/>
          <w:rtl w:val="0"/>
        </w:rPr>
        <w:t xml:space="preserve">the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employment is accepted, the Supplier shall immediately release the person from its employment;</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ci93xb" w:id="22"/>
      <w:bookmarkEnd w:id="22"/>
      <w:r w:rsidDel="00000000" w:rsidR="00000000" w:rsidRPr="00000000">
        <w:rPr>
          <w:rFonts w:ascii="Arial" w:cs="Arial" w:eastAsia="Arial" w:hAnsi="Arial"/>
          <w:color w:val="000000"/>
          <w:sz w:val="24"/>
          <w:szCs w:val="24"/>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5">
      <w:pPr>
        <w:pStyle w:val="Heading4"/>
        <w:keepLines w:val="0"/>
        <w:numPr>
          <w:ilvl w:val="3"/>
          <w:numId w:val="9"/>
        </w:numPr>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rsidR="00000000" w:rsidDel="00000000" w:rsidP="00000000" w:rsidRDefault="00000000" w:rsidRPr="00000000" w14:paraId="00000076">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whwml4" w:id="23"/>
      <w:bookmarkEnd w:id="23"/>
      <w:r w:rsidDel="00000000" w:rsidR="00000000" w:rsidRPr="00000000">
        <w:rPr>
          <w:rFonts w:ascii="Arial" w:cs="Arial" w:eastAsia="Arial" w:hAnsi="Arial"/>
          <w:color w:val="000000"/>
          <w:sz w:val="24"/>
          <w:szCs w:val="24"/>
          <w:rtl w:val="0"/>
        </w:rPr>
        <w:t xml:space="preserve">The indemnity in Paragraph 2.3 shall not apply to any claim:</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9">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bn6wsx" w:id="24"/>
      <w:bookmarkEnd w:id="24"/>
      <w:r w:rsidDel="00000000" w:rsidR="00000000" w:rsidRPr="00000000">
        <w:rPr>
          <w:rFonts w:ascii="Arial" w:cs="Arial" w:eastAsia="Arial" w:hAnsi="Arial"/>
          <w:color w:val="000000"/>
          <w:sz w:val="24"/>
          <w:szCs w:val="24"/>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7B">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qsh70q" w:id="25"/>
      <w:bookmarkEnd w:id="25"/>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7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as4poj" w:id="26"/>
      <w:bookmarkEnd w:id="26"/>
      <w:r w:rsidDel="00000000" w:rsidR="00000000" w:rsidRPr="00000000">
        <w:rPr>
          <w:rFonts w:ascii="Arial" w:cs="Arial" w:eastAsia="Arial" w:hAnsi="Arial"/>
          <w:color w:val="000000"/>
          <w:sz w:val="24"/>
          <w:szCs w:val="24"/>
          <w:rtl w:val="0"/>
        </w:rPr>
        <w:t xml:space="preserve">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7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7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7F">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80">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81">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82">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83">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84">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85">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86">
      <w:pPr>
        <w:keepNext w:val="1"/>
        <w:numPr>
          <w:ilvl w:val="0"/>
          <w:numId w:val="16"/>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87">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w:t>
      </w:r>
    </w:p>
    <w:p w:rsidR="00000000" w:rsidDel="00000000" w:rsidP="00000000" w:rsidRDefault="00000000" w:rsidRPr="00000000" w14:paraId="00000088">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pension obligations in respect of all Transferring Former Supplier Employees; and</w:t>
      </w:r>
    </w:p>
    <w:p w:rsidR="00000000" w:rsidDel="00000000" w:rsidP="00000000" w:rsidRDefault="00000000" w:rsidRPr="00000000" w14:paraId="00000089">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in Part D: Pensions.</w:t>
      </w:r>
    </w:p>
    <w:p w:rsidR="00000000" w:rsidDel="00000000" w:rsidP="00000000" w:rsidRDefault="00000000" w:rsidRPr="00000000" w14:paraId="0000008A">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Style w:val="Heading1"/>
        <w:numPr>
          <w:ilvl w:val="0"/>
          <w:numId w:val="12"/>
        </w:numPr>
        <w:ind w:left="0" w:hanging="57"/>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pxezwc" w:id="27"/>
      <w:bookmarkEnd w:id="27"/>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8F">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9x2ik5" w:id="28"/>
      <w:bookmarkEnd w:id="28"/>
      <w:r w:rsidDel="00000000" w:rsidR="00000000" w:rsidRPr="00000000">
        <w:rPr>
          <w:rFonts w:ascii="Arial" w:cs="Arial" w:eastAsia="Arial" w:hAnsi="Arial"/>
          <w:color w:val="000000"/>
          <w:sz w:val="24"/>
          <w:szCs w:val="24"/>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p2csry" w:id="29"/>
      <w:bookmarkEnd w:id="29"/>
      <w:r w:rsidDel="00000000" w:rsidR="00000000" w:rsidRPr="00000000">
        <w:rPr>
          <w:rFonts w:ascii="Arial" w:cs="Arial" w:eastAsia="Arial" w:hAnsi="Arial"/>
          <w:color w:val="000000"/>
          <w:sz w:val="24"/>
          <w:szCs w:val="24"/>
          <w:rtl w:val="0"/>
        </w:rPr>
        <w:t xml:space="preserve">the Supplier will, within 5 Working Days of becoming aware of that fact, notify the Buyer in writing;</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47n2zr" w:id="30"/>
      <w:bookmarkEnd w:id="30"/>
      <w:r w:rsidDel="00000000" w:rsidR="00000000" w:rsidRPr="00000000">
        <w:rPr>
          <w:rFonts w:ascii="Arial" w:cs="Arial" w:eastAsia="Arial" w:hAnsi="Arial"/>
          <w:color w:val="000000"/>
          <w:sz w:val="24"/>
          <w:szCs w:val="24"/>
          <w:rtl w:val="0"/>
        </w:rPr>
        <w:t xml:space="preserve">the Buyer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employment is accepted, the Supplier shall immediately release the person from its employment;</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o7alnk" w:id="31"/>
      <w:bookmarkEnd w:id="31"/>
      <w:r w:rsidDel="00000000" w:rsidR="00000000" w:rsidRPr="00000000">
        <w:rPr>
          <w:rFonts w:ascii="Arial" w:cs="Arial" w:eastAsia="Arial" w:hAnsi="Arial"/>
          <w:color w:val="000000"/>
          <w:sz w:val="24"/>
          <w:szCs w:val="24"/>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94">
      <w:pPr>
        <w:keepNext w:val="1"/>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1.2.1 to 1.2.4:</w:t>
      </w:r>
    </w:p>
    <w:p w:rsidR="00000000" w:rsidDel="00000000" w:rsidP="00000000" w:rsidRDefault="00000000" w:rsidRPr="00000000" w14:paraId="00000095">
      <w:pPr>
        <w:numPr>
          <w:ilvl w:val="3"/>
          <w:numId w:val="2"/>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indemnify the Supplier and/or the relevant Sub-contractor against all Employee Liabilities arising out of the termination of the employment of any of the Buyer's employees referred to in Paragraph 1.2; and </w:t>
      </w:r>
    </w:p>
    <w:p w:rsidR="00000000" w:rsidDel="00000000" w:rsidP="00000000" w:rsidRDefault="00000000" w:rsidRPr="00000000" w14:paraId="00000096">
      <w:pPr>
        <w:numPr>
          <w:ilvl w:val="3"/>
          <w:numId w:val="2"/>
        </w:numPr>
        <w:pBdr>
          <w:top w:space="0" w:sz="0" w:val="nil"/>
          <w:left w:space="0" w:sz="0" w:val="nil"/>
          <w:bottom w:space="0" w:sz="0" w:val="nil"/>
          <w:right w:space="0" w:sz="0" w:val="nil"/>
          <w:between w:space="0" w:sz="0" w:val="nil"/>
        </w:pBdr>
        <w:spacing w:after="120" w:before="120" w:lineRule="auto"/>
        <w:ind w:left="288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procure that the Former Supplier indemnifies the Supplier and/or any Sub-contractor against all Employee Liabilities arising out of termination of the employment of the employees of the Former Supplier referred to in Paragraph 1.2.</w:t>
      </w:r>
    </w:p>
    <w:p w:rsidR="00000000" w:rsidDel="00000000" w:rsidP="00000000" w:rsidRDefault="00000000" w:rsidRPr="00000000" w14:paraId="00000097">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3ckvvd" w:id="32"/>
      <w:bookmarkEnd w:id="32"/>
      <w:r w:rsidDel="00000000" w:rsidR="00000000" w:rsidRPr="00000000">
        <w:rPr>
          <w:rFonts w:ascii="Arial" w:cs="Arial" w:eastAsia="Arial" w:hAnsi="Arial"/>
          <w:color w:val="000000"/>
          <w:sz w:val="24"/>
          <w:szCs w:val="24"/>
          <w:rtl w:val="0"/>
        </w:rPr>
        <w:t xml:space="preserve">The indemnities in Paragraph 1.2 shall not apply to any claim:</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ihv636" w:id="33"/>
      <w:bookmarkEnd w:id="33"/>
      <w:r w:rsidDel="00000000" w:rsidR="00000000" w:rsidRPr="00000000">
        <w:rPr>
          <w:rFonts w:ascii="Arial" w:cs="Arial" w:eastAsia="Arial" w:hAnsi="Arial"/>
          <w:color w:val="000000"/>
          <w:sz w:val="24"/>
          <w:szCs w:val="24"/>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2hioqz" w:id="34"/>
      <w:bookmarkEnd w:id="34"/>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9D">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9E">
      <w:pPr>
        <w:pStyle w:val="Heading1"/>
        <w:keepNext w:val="1"/>
        <w:ind w:left="720" w:hanging="720"/>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09F">
      <w:pPr>
        <w:keepNext w:val="1"/>
        <w:numPr>
          <w:ilvl w:val="0"/>
          <w:numId w:val="4"/>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A0">
      <w:pPr>
        <w:keepNext w:val="1"/>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the following words have the following meanings and they shall supplement Joint Schedule 1 (Definitions), and shall be deemed to include the definitions set out in the Annexes:</w:t>
      </w:r>
    </w:p>
    <w:tbl>
      <w:tblPr>
        <w:tblStyle w:val="Table2"/>
        <w:tblW w:w="9026.0" w:type="dxa"/>
        <w:jc w:val="left"/>
        <w:tblLayout w:type="fixed"/>
        <w:tblLook w:val="0400"/>
      </w:tblPr>
      <w:tblGrid>
        <w:gridCol w:w="3050"/>
        <w:gridCol w:w="5976"/>
        <w:tblGridChange w:id="0">
          <w:tblGrid>
            <w:gridCol w:w="3050"/>
            <w:gridCol w:w="5976"/>
          </w:tblGrid>
        </w:tblGridChange>
      </w:tblGrid>
      <w:tr>
        <w:trPr>
          <w:cantSplit w:val="0"/>
          <w:tblHeader w:val="0"/>
        </w:trPr>
        <w:tc>
          <w:tcPr>
            <w:shd w:fill="auto" w:val="clear"/>
          </w:tcPr>
          <w:p w:rsidR="00000000" w:rsidDel="00000000" w:rsidP="00000000" w:rsidRDefault="00000000" w:rsidRPr="00000000" w14:paraId="000000A1">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A2">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A3">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A4">
            <w:pPr>
              <w:tabs>
                <w:tab w:val="left" w:leader="none"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A5">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A6">
            <w:pPr>
              <w:widowControl w:val="0"/>
              <w:numPr>
                <w:ilvl w:val="0"/>
                <w:numId w:val="8"/>
              </w:numPr>
              <w:tabs>
                <w:tab w:val="left" w:leader="none" w:pos="695"/>
              </w:tabs>
              <w:spacing w:after="120" w:before="120" w:lineRule="auto"/>
              <w:ind w:left="691" w:hanging="64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shd w:fill="auto" w:val="clear"/>
          </w:tcPr>
          <w:p w:rsidR="00000000" w:rsidDel="00000000" w:rsidP="00000000" w:rsidRDefault="00000000" w:rsidRPr="00000000" w14:paraId="000000A7">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8">
            <w:pPr>
              <w:widowControl w:val="0"/>
              <w:numPr>
                <w:ilvl w:val="0"/>
                <w:numId w:val="8"/>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A9">
            <w:pPr>
              <w:tabs>
                <w:tab w:val="left" w:leader="none"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AA">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AB">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AC">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AD">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w:t>
            </w:r>
          </w:p>
          <w:p w:rsidR="00000000" w:rsidDel="00000000" w:rsidP="00000000" w:rsidRDefault="00000000" w:rsidRPr="00000000" w14:paraId="000000AE">
            <w:pPr>
              <w:widowControl w:val="0"/>
              <w:numPr>
                <w:ilvl w:val="0"/>
                <w:numId w:val="5"/>
              </w:numPr>
              <w:tabs>
                <w:tab w:val="left" w:leader="none"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and/or </w:t>
            </w:r>
          </w:p>
        </w:tc>
      </w:tr>
      <w:tr>
        <w:trPr>
          <w:cantSplit w:val="0"/>
          <w:tblHeader w:val="0"/>
        </w:trPr>
        <w:tc>
          <w:tcPr>
            <w:shd w:fill="auto" w:val="clear"/>
          </w:tcPr>
          <w:p w:rsidR="00000000" w:rsidDel="00000000" w:rsidP="00000000" w:rsidRDefault="00000000" w:rsidRPr="00000000" w14:paraId="000000AF">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0">
            <w:pPr>
              <w:widowControl w:val="0"/>
              <w:numPr>
                <w:ilvl w:val="0"/>
                <w:numId w:val="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and/or</w:t>
            </w:r>
          </w:p>
        </w:tc>
      </w:tr>
      <w:tr>
        <w:trPr>
          <w:cantSplit w:val="0"/>
          <w:tblHeader w:val="0"/>
        </w:trPr>
        <w:tc>
          <w:tcPr>
            <w:shd w:fill="auto" w:val="clear"/>
          </w:tcPr>
          <w:p w:rsidR="00000000" w:rsidDel="00000000" w:rsidP="00000000" w:rsidRDefault="00000000" w:rsidRPr="00000000" w14:paraId="000000B1">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2">
            <w:pPr>
              <w:widowControl w:val="0"/>
              <w:numPr>
                <w:ilvl w:val="0"/>
                <w:numId w:val="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1.2.4 of Part C;</w:t>
            </w:r>
          </w:p>
        </w:tc>
      </w:tr>
      <w:tr>
        <w:trPr>
          <w:cantSplit w:val="0"/>
          <w:tblHeader w:val="0"/>
        </w:trPr>
        <w:tc>
          <w:tcPr>
            <w:shd w:fill="auto" w:val="clear"/>
          </w:tcPr>
          <w:p w:rsidR="00000000" w:rsidDel="00000000" w:rsidP="00000000" w:rsidRDefault="00000000" w:rsidRPr="00000000" w14:paraId="000000B3">
            <w:pPr>
              <w:keepNext w:val="1"/>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4">
            <w:pPr>
              <w:widowControl w:val="0"/>
              <w:numPr>
                <w:ilvl w:val="0"/>
                <w:numId w:val="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Former Supplier becomes the Supplier those employees; </w:t>
            </w:r>
          </w:p>
        </w:tc>
      </w:tr>
      <w:tr>
        <w:trPr>
          <w:cantSplit w:val="0"/>
          <w:tblHeader w:val="0"/>
        </w:trPr>
        <w:tc>
          <w:tcPr>
            <w:shd w:fill="auto" w:val="clear"/>
          </w:tcPr>
          <w:p w:rsidR="00000000" w:rsidDel="00000000" w:rsidP="00000000" w:rsidRDefault="00000000" w:rsidRPr="00000000" w14:paraId="000000B5">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6">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shd w:fill="auto" w:val="clear"/>
          </w:tcPr>
          <w:p w:rsidR="00000000" w:rsidDel="00000000" w:rsidP="00000000" w:rsidRDefault="00000000" w:rsidRPr="00000000" w14:paraId="000000B7">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Schemes"</w:t>
            </w:r>
          </w:p>
        </w:tc>
        <w:tc>
          <w:tcPr>
            <w:shd w:fill="auto" w:val="clear"/>
          </w:tcPr>
          <w:p w:rsidR="00000000" w:rsidDel="00000000" w:rsidP="00000000" w:rsidRDefault="00000000" w:rsidRPr="00000000" w14:paraId="000000B8">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relevant Statutory Scheme or a Broadly Comparable pension scheme;</w:t>
            </w:r>
          </w:p>
        </w:tc>
      </w:tr>
      <w:tr>
        <w:trPr>
          <w:cantSplit w:val="0"/>
          <w:tblHeader w:val="0"/>
        </w:trPr>
        <w:tc>
          <w:tcPr>
            <w:shd w:fill="auto" w:val="clear"/>
          </w:tcPr>
          <w:p w:rsidR="00000000" w:rsidDel="00000000" w:rsidP="00000000" w:rsidRDefault="00000000" w:rsidRPr="00000000" w14:paraId="000000B9">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BA">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Fund Actuary as defined in Annex D3 to this Part D;</w:t>
            </w:r>
          </w:p>
        </w:tc>
      </w:tr>
      <w:tr>
        <w:trPr>
          <w:cantSplit w:val="0"/>
          <w:tblHeader w:val="0"/>
        </w:trPr>
        <w:tc>
          <w:tcPr>
            <w:shd w:fill="auto" w:val="clear"/>
          </w:tcPr>
          <w:p w:rsidR="00000000" w:rsidDel="00000000" w:rsidP="00000000" w:rsidRDefault="00000000" w:rsidRPr="00000000" w14:paraId="000000BB">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BC">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D3 to this Part D;</w:t>
            </w:r>
          </w:p>
        </w:tc>
      </w:tr>
      <w:tr>
        <w:trPr>
          <w:cantSplit w:val="0"/>
          <w:tblHeader w:val="0"/>
        </w:trPr>
        <w:tc>
          <w:tcPr>
            <w:shd w:fill="auto" w:val="clear"/>
          </w:tcPr>
          <w:p w:rsidR="00000000" w:rsidDel="00000000" w:rsidP="00000000" w:rsidRDefault="00000000" w:rsidRPr="00000000" w14:paraId="000000BD">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BE">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BF">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shd w:fill="auto" w:val="clear"/>
          </w:tcPr>
          <w:p w:rsidR="00000000" w:rsidDel="00000000" w:rsidP="00000000" w:rsidRDefault="00000000" w:rsidRPr="00000000" w14:paraId="000000C0">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C1">
            <w:pPr>
              <w:widowControl w:val="0"/>
              <w:numPr>
                <w:ilvl w:val="0"/>
                <w:numId w:val="15"/>
              </w:numPr>
              <w:tabs>
                <w:tab w:val="left" w:leader="none"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tc>
      </w:tr>
      <w:tr>
        <w:trPr>
          <w:cantSplit w:val="0"/>
          <w:tblHeader w:val="0"/>
        </w:trPr>
        <w:tc>
          <w:tcPr>
            <w:shd w:fill="auto" w:val="clear"/>
          </w:tcPr>
          <w:p w:rsidR="00000000" w:rsidDel="00000000" w:rsidP="00000000" w:rsidRDefault="00000000" w:rsidRPr="00000000" w14:paraId="000000C2">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3">
            <w:pPr>
              <w:widowControl w:val="0"/>
              <w:numPr>
                <w:ilvl w:val="0"/>
                <w:numId w:val="15"/>
              </w:numPr>
              <w:tabs>
                <w:tab w:val="left" w:leader="none"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subsequent Annex D1-D3 inclusive as notified to the Supplier by the CCS or Buyer; and</w:t>
            </w:r>
          </w:p>
        </w:tc>
      </w:tr>
      <w:tr>
        <w:trPr>
          <w:cantSplit w:val="0"/>
          <w:tblHeader w:val="0"/>
        </w:trPr>
        <w:tc>
          <w:tcPr>
            <w:shd w:fill="auto" w:val="clear"/>
          </w:tcPr>
          <w:p w:rsidR="00000000" w:rsidDel="00000000" w:rsidP="00000000" w:rsidRDefault="00000000" w:rsidRPr="00000000" w14:paraId="000000C4">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C5">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C6">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C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0CA">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CC">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0CD">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hmsyys" w:id="35"/>
      <w:bookmarkEnd w:id="35"/>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0CF">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D0">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0D1">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to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D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1mghml" w:id="36"/>
      <w:bookmarkEnd w:id="36"/>
      <w:r w:rsidDel="00000000" w:rsidR="00000000" w:rsidRPr="00000000">
        <w:rPr>
          <w:rFonts w:ascii="Arial" w:cs="Arial" w:eastAsia="Arial" w:hAnsi="Arial"/>
          <w:color w:val="000000"/>
          <w:sz w:val="24"/>
          <w:szCs w:val="24"/>
          <w:rtl w:val="0"/>
        </w:rPr>
        <w:t xml:space="preserve">The Supplier hereby indemnifies the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grqrue" w:id="37"/>
      <w:bookmarkEnd w:id="37"/>
      <w:r w:rsidDel="00000000" w:rsidR="00000000" w:rsidRPr="00000000">
        <w:rPr>
          <w:rFonts w:ascii="Arial" w:cs="Arial" w:eastAsia="Arial" w:hAnsi="Arial"/>
          <w:color w:val="000000"/>
          <w:sz w:val="24"/>
          <w:szCs w:val="24"/>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vx1227" w:id="38"/>
      <w:bookmarkEnd w:id="38"/>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D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this Contract; and</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0D8">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0D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0DC">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DD">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E0">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0E1">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E4">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Transferring New Fair Deal Employees</w:t>
      </w:r>
      <w:r w:rsidDel="00000000" w:rsidR="00000000" w:rsidRPr="00000000">
        <w:rPr>
          <w:rtl w:val="0"/>
        </w:rPr>
      </w:r>
    </w:p>
    <w:p w:rsidR="00000000" w:rsidDel="00000000" w:rsidP="00000000" w:rsidRDefault="00000000" w:rsidRPr="00000000" w14:paraId="000000E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and inform those Fair Deal Employees of the pension provisions relating to that transfer; and</w:t>
      </w:r>
    </w:p>
    <w:p w:rsidR="00000000" w:rsidDel="00000000" w:rsidP="00000000" w:rsidRDefault="00000000" w:rsidRPr="00000000" w14:paraId="000000E7">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E8">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0E9">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EA">
      <w:pPr>
        <w:keepNext w:val="1"/>
        <w:numPr>
          <w:ilvl w:val="0"/>
          <w:numId w:val="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w:t>
      </w:r>
    </w:p>
    <w:p w:rsidR="00000000" w:rsidDel="00000000" w:rsidP="00000000" w:rsidRDefault="00000000" w:rsidRPr="00000000" w14:paraId="000000E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fwokq0" w:id="39"/>
      <w:bookmarkEnd w:id="39"/>
      <w:r w:rsidDel="00000000" w:rsidR="00000000" w:rsidRPr="00000000">
        <w:rPr>
          <w:rFonts w:ascii="Arial" w:cs="Arial" w:eastAsia="Arial" w:hAnsi="Arial"/>
          <w:color w:val="000000"/>
          <w:sz w:val="24"/>
          <w:szCs w:val="24"/>
          <w:rtl w:val="0"/>
        </w:rPr>
        <w:t xml:space="preserve">If either:</w:t>
      </w:r>
    </w:p>
    <w:p w:rsidR="00000000" w:rsidDel="00000000" w:rsidP="00000000" w:rsidRDefault="00000000" w:rsidRPr="00000000" w14:paraId="000000EC">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any of Paragraphs 2.2 of Annex D1: CSPS, 5.2 of Annex D2: NHSPS and or 4 of Annex D3: LGPS apply; and/or</w:t>
      </w:r>
    </w:p>
    <w:p w:rsidR="00000000" w:rsidDel="00000000" w:rsidP="00000000" w:rsidRDefault="00000000" w:rsidRPr="00000000" w14:paraId="000000ED">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EE">
      <w:pPr>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E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0F0">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0F1">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0F2">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0F3">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0F4">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v1yuxt" w:id="40"/>
      <w:bookmarkEnd w:id="40"/>
      <w:r w:rsidDel="00000000" w:rsidR="00000000" w:rsidRPr="00000000">
        <w:rPr>
          <w:rFonts w:ascii="Arial" w:cs="Arial" w:eastAsia="Arial" w:hAnsi="Arial"/>
          <w:color w:val="000000"/>
          <w:sz w:val="24"/>
          <w:szCs w:val="24"/>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Arial" w:cs="Arial" w:eastAsia="Arial" w:hAnsi="Arial"/>
          <w:b w:val="1"/>
          <w:color w:val="000000"/>
          <w:sz w:val="24"/>
          <w:szCs w:val="24"/>
          <w:rtl w:val="0"/>
        </w:rPr>
        <w:t xml:space="preserve">"Shortfall"</w:t>
      </w:r>
      <w:r w:rsidDel="00000000" w:rsidR="00000000" w:rsidRPr="00000000">
        <w:rPr>
          <w:rFonts w:ascii="Arial" w:cs="Arial" w:eastAsia="Arial" w:hAnsi="Arial"/>
          <w:color w:val="000000"/>
          <w:sz w:val="24"/>
          <w:szCs w:val="24"/>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0F5">
      <w:pPr>
        <w:numPr>
          <w:ilvl w:val="2"/>
          <w:numId w:val="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0F6">
      <w:pPr>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0F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0F8">
      <w:pPr>
        <w:keepNext w:val="1"/>
        <w:numPr>
          <w:ilvl w:val="0"/>
          <w:numId w:val="7"/>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F9">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0FA">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0FB">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0FC">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0FD">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Fair Deal Employee who at the relevant time is an eligible employee as defined in the CSPS Admission Agreement;</w:t>
            </w:r>
          </w:p>
        </w:tc>
      </w:tr>
      <w:tr>
        <w:trPr>
          <w:cantSplit w:val="0"/>
          <w:tblHeader w:val="0"/>
        </w:trPr>
        <w:tc>
          <w:tcPr/>
          <w:p w:rsidR="00000000" w:rsidDel="00000000" w:rsidP="00000000" w:rsidRDefault="00000000" w:rsidRPr="00000000" w14:paraId="000000FE">
            <w:pPr>
              <w:spacing w:after="120" w:lineRule="auto"/>
              <w:ind w:left="709" w:firstLine="0"/>
              <w:jc w:val="left"/>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0FF">
            <w:pPr>
              <w:spacing w:after="120" w:lineRule="auto"/>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00">
      <w:pPr>
        <w:keepNext w:val="1"/>
        <w:numPr>
          <w:ilvl w:val="0"/>
          <w:numId w:val="7"/>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01">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02">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f1mdlm" w:id="41"/>
      <w:bookmarkEnd w:id="41"/>
      <w:r w:rsidDel="00000000" w:rsidR="00000000" w:rsidRPr="00000000">
        <w:rPr>
          <w:rFonts w:ascii="Arial" w:cs="Arial" w:eastAsia="Arial" w:hAnsi="Arial"/>
          <w:color w:val="000000"/>
          <w:sz w:val="24"/>
          <w:szCs w:val="24"/>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03">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05">
      <w:pPr>
        <w:keepNext w:val="1"/>
        <w:numPr>
          <w:ilvl w:val="0"/>
          <w:numId w:val="1"/>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06">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064"/>
        <w:gridCol w:w="5962"/>
        <w:tblGridChange w:id="0">
          <w:tblGrid>
            <w:gridCol w:w="3064"/>
            <w:gridCol w:w="5962"/>
          </w:tblGrid>
        </w:tblGridChange>
      </w:tblGrid>
      <w:tr>
        <w:trPr>
          <w:cantSplit w:val="0"/>
          <w:tblHeader w:val="0"/>
        </w:trPr>
        <w:tc>
          <w:tcPr/>
          <w:p w:rsidR="00000000" w:rsidDel="00000000" w:rsidP="00000000" w:rsidRDefault="00000000" w:rsidRPr="00000000" w14:paraId="00000107">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w:t>
            </w:r>
          </w:p>
        </w:tc>
        <w:tc>
          <w:tcPr/>
          <w:p w:rsidR="00000000" w:rsidDel="00000000" w:rsidP="00000000" w:rsidRDefault="00000000" w:rsidRPr="00000000" w14:paraId="00000108">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p w:rsidR="00000000" w:rsidDel="00000000" w:rsidP="00000000" w:rsidRDefault="00000000" w:rsidRPr="00000000" w14:paraId="00000109">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0A">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p w:rsidR="00000000" w:rsidDel="00000000" w:rsidP="00000000" w:rsidRDefault="00000000" w:rsidRPr="00000000" w14:paraId="0000010B">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0C">
            <w:pPr>
              <w:widowControl w:val="0"/>
              <w:numPr>
                <w:ilvl w:val="0"/>
                <w:numId w:val="10"/>
              </w:numPr>
              <w:tabs>
                <w:tab w:val="left" w:leader="none" w:pos="695"/>
              </w:tabs>
              <w:spacing w:after="120" w:before="120" w:lineRule="auto"/>
              <w:ind w:left="743" w:hanging="70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0D">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0E">
            <w:pPr>
              <w:widowControl w:val="0"/>
              <w:numPr>
                <w:ilvl w:val="0"/>
                <w:numId w:val="10"/>
              </w:numPr>
              <w:tabs>
                <w:tab w:val="left" w:leader="none" w:pos="695"/>
              </w:tabs>
              <w:spacing w:after="120" w:before="120" w:lineRule="auto"/>
              <w:ind w:left="695" w:hanging="64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0F">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0">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11">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2">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p w:rsidR="00000000" w:rsidDel="00000000" w:rsidP="00000000" w:rsidRDefault="00000000" w:rsidRPr="00000000" w14:paraId="00000113">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14">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w:t>
            </w:r>
          </w:p>
        </w:tc>
      </w:tr>
      <w:tr>
        <w:trPr>
          <w:cantSplit w:val="0"/>
          <w:tblHeader w:val="0"/>
        </w:trPr>
        <w:tc>
          <w:tcPr/>
          <w:p w:rsidR="00000000" w:rsidDel="00000000" w:rsidP="00000000" w:rsidRDefault="00000000" w:rsidRPr="00000000" w14:paraId="00000115">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16">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17">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18">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p w:rsidR="00000000" w:rsidDel="00000000" w:rsidP="00000000" w:rsidRDefault="00000000" w:rsidRPr="00000000" w14:paraId="00000119">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Arrears"</w:t>
            </w:r>
          </w:p>
        </w:tc>
        <w:tc>
          <w:tcPr/>
          <w:p w:rsidR="00000000" w:rsidDel="00000000" w:rsidP="00000000" w:rsidRDefault="00000000" w:rsidRPr="00000000" w14:paraId="0000011A">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p w:rsidR="00000000" w:rsidDel="00000000" w:rsidP="00000000" w:rsidRDefault="00000000" w:rsidRPr="00000000" w14:paraId="0000011B">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1C">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1D">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1E">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p w:rsidR="00000000" w:rsidDel="00000000" w:rsidP="00000000" w:rsidRDefault="00000000" w:rsidRPr="00000000" w14:paraId="0000011F">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20">
            <w:pPr>
              <w:tabs>
                <w:tab w:val="left" w:leader="none"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p w:rsidR="00000000" w:rsidDel="00000000" w:rsidP="00000000" w:rsidRDefault="00000000" w:rsidRPr="00000000" w14:paraId="00000121">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"Retirement Benefits Scheme"</w:t>
            </w:r>
          </w:p>
        </w:tc>
        <w:tc>
          <w:tcPr/>
          <w:p w:rsidR="00000000" w:rsidDel="00000000" w:rsidP="00000000" w:rsidRDefault="00000000" w:rsidRPr="00000000" w14:paraId="00000122">
            <w:pPr>
              <w:tabs>
                <w:tab w:val="left" w:leader="none"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pension scheme registered under Chapter 2 of Part 4 of the Finance Act 2004.</w:t>
            </w:r>
            <w:r w:rsidDel="00000000" w:rsidR="00000000" w:rsidRPr="00000000">
              <w:rPr>
                <w:rtl w:val="0"/>
              </w:rPr>
            </w:r>
          </w:p>
        </w:tc>
      </w:tr>
    </w:tbl>
    <w:p w:rsidR="00000000" w:rsidDel="00000000" w:rsidP="00000000" w:rsidRDefault="00000000" w:rsidRPr="00000000" w14:paraId="00000123">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2u6wntf" w:id="42"/>
      <w:bookmarkEnd w:id="42"/>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2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9c6y18" w:id="43"/>
      <w:bookmarkEnd w:id="43"/>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25">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tbugp1" w:id="44"/>
      <w:bookmarkEnd w:id="44"/>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by or as soon as reasonably practicable after the Relevant Transfer Date a complete copy of each Direction Letter.</w:t>
      </w:r>
    </w:p>
    <w:p w:rsidR="00000000" w:rsidDel="00000000" w:rsidP="00000000" w:rsidRDefault="00000000" w:rsidRPr="00000000" w14:paraId="00000126">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8h4qwu" w:id="45"/>
      <w:bookmarkEnd w:id="45"/>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27">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nmf14n" w:id="46"/>
      <w:bookmarkEnd w:id="46"/>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2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7m2jsg" w:id="47"/>
      <w:bookmarkEnd w:id="47"/>
      <w:r w:rsidDel="00000000" w:rsidR="00000000" w:rsidRPr="00000000">
        <w:rPr>
          <w:rFonts w:ascii="Arial" w:cs="Arial" w:eastAsia="Arial" w:hAnsi="Arial"/>
          <w:color w:val="000000"/>
          <w:sz w:val="24"/>
          <w:szCs w:val="24"/>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2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mrcu09"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2A">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46r0co2" w:id="49"/>
      <w:bookmarkEnd w:id="49"/>
      <w:r w:rsidDel="00000000" w:rsidR="00000000" w:rsidRPr="00000000">
        <w:rPr>
          <w:rFonts w:ascii="Arial" w:cs="Arial" w:eastAsia="Arial" w:hAnsi="Arial"/>
          <w:b w:val="1"/>
          <w:color w:val="000000"/>
          <w:sz w:val="24"/>
          <w:szCs w:val="24"/>
          <w:rtl w:val="0"/>
        </w:rPr>
        <w:t xml:space="preserve">Access to NHS Pension Schemes after transfer</w:t>
      </w:r>
      <w:r w:rsidDel="00000000" w:rsidR="00000000" w:rsidRPr="00000000">
        <w:rPr>
          <w:rtl w:val="0"/>
        </w:rPr>
      </w:r>
    </w:p>
    <w:p w:rsidR="00000000" w:rsidDel="00000000" w:rsidP="00000000" w:rsidRDefault="00000000" w:rsidRPr="00000000" w14:paraId="0000012B">
      <w:pPr>
        <w:tabs>
          <w:tab w:val="left" w:leader="none" w:pos="709"/>
        </w:tabs>
        <w:spacing w:after="120" w:before="120" w:lineRule="auto"/>
        <w:ind w:left="371" w:hanging="12.999999999999972"/>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2C">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2D">
      <w:pPr>
        <w:ind w:left="357" w:firstLine="0"/>
        <w:jc w:val="left"/>
        <w:rPr>
          <w:rFonts w:ascii="Arial" w:cs="Arial" w:eastAsia="Arial" w:hAnsi="Arial"/>
          <w:sz w:val="24"/>
          <w:szCs w:val="24"/>
        </w:rPr>
      </w:pPr>
      <w:bookmarkStart w:colFirst="0" w:colLast="0" w:name="_heading=h.2lwamvv" w:id="50"/>
      <w:bookmarkEnd w:id="50"/>
      <w:r w:rsidDel="00000000" w:rsidR="00000000" w:rsidRPr="00000000">
        <w:rPr>
          <w:rFonts w:ascii="Arial" w:cs="Arial" w:eastAsia="Arial" w:hAnsi="Arial"/>
          <w:sz w:val="24"/>
          <w:szCs w:val="24"/>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2E">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bookmarkStart w:colFirst="0" w:colLast="0" w:name="_heading=h.111kx3o" w:id="51"/>
      <w:bookmarkEnd w:id="51"/>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do if the Supplier breaches its pension obligations</w:t>
      </w:r>
      <w:r w:rsidDel="00000000" w:rsidR="00000000" w:rsidRPr="00000000">
        <w:rPr>
          <w:rtl w:val="0"/>
        </w:rPr>
      </w:r>
    </w:p>
    <w:p w:rsidR="00000000" w:rsidDel="00000000" w:rsidP="00000000" w:rsidRDefault="00000000" w:rsidRPr="00000000" w14:paraId="0000012F">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l18frh" w:id="52"/>
      <w:bookmarkEnd w:id="52"/>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3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06ipza" w:id="53"/>
      <w:bookmarkEnd w:id="53"/>
      <w:r w:rsidDel="00000000" w:rsidR="00000000" w:rsidRPr="00000000">
        <w:rPr>
          <w:rFonts w:ascii="Arial" w:cs="Arial" w:eastAsia="Arial" w:hAnsi="Arial"/>
          <w:color w:val="000000"/>
          <w:sz w:val="24"/>
          <w:szCs w:val="24"/>
          <w:rtl w:val="0"/>
        </w:rPr>
        <w:t xml:space="preserve">If the Buyer is entitled to terminate the Contract or the Supplier (or its Sub-contractor, if relevant) ceases to participate in the NHSPS for whatever other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3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k668n3" w:id="54"/>
      <w:bookmarkEnd w:id="54"/>
      <w:r w:rsidDel="00000000" w:rsidR="00000000" w:rsidRPr="00000000">
        <w:rPr>
          <w:rFonts w:ascii="Arial" w:cs="Arial" w:eastAsia="Arial" w:hAnsi="Arial"/>
          <w:color w:val="000000"/>
          <w:sz w:val="24"/>
          <w:szCs w:val="24"/>
          <w:rtl w:val="0"/>
        </w:rPr>
        <w:t xml:space="preserve">In addition to the Buyer's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32">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33">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zbgiuw"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Eligible Employees with either: </w:t>
      </w:r>
    </w:p>
    <w:p w:rsidR="00000000" w:rsidDel="00000000" w:rsidP="00000000" w:rsidRDefault="00000000" w:rsidRPr="00000000" w14:paraId="00000134">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egqt2p" w:id="56"/>
      <w:bookmarkEnd w:id="56"/>
      <w:r w:rsidDel="00000000" w:rsidR="00000000" w:rsidRPr="00000000">
        <w:rPr>
          <w:rFonts w:ascii="Arial" w:cs="Arial" w:eastAsia="Arial" w:hAnsi="Arial"/>
          <w:color w:val="000000"/>
          <w:sz w:val="24"/>
          <w:szCs w:val="24"/>
          <w:rtl w:val="0"/>
        </w:rPr>
        <w:t xml:space="preserve">membership of the NHSPS (having used its best endeavours to secure a Direction Letter); or </w:t>
      </w:r>
    </w:p>
    <w:p w:rsidR="00000000" w:rsidDel="00000000" w:rsidP="00000000" w:rsidRDefault="00000000" w:rsidRPr="00000000" w14:paraId="00000135">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ygebqi" w:id="57"/>
      <w:bookmarkEnd w:id="57"/>
      <w:r w:rsidDel="00000000" w:rsidR="00000000" w:rsidRPr="00000000">
        <w:rPr>
          <w:rFonts w:ascii="Arial" w:cs="Arial" w:eastAsia="Arial" w:hAnsi="Arial"/>
          <w:color w:val="000000"/>
          <w:sz w:val="24"/>
          <w:szCs w:val="24"/>
          <w:rtl w:val="0"/>
        </w:rPr>
        <w:t xml:space="preserve">access to a Broadly Comparable pension scheme, </w:t>
      </w:r>
    </w:p>
    <w:p w:rsidR="00000000" w:rsidDel="00000000" w:rsidP="00000000" w:rsidRDefault="00000000" w:rsidRPr="00000000" w14:paraId="00000136">
      <w:pPr>
        <w:tabs>
          <w:tab w:val="left" w:leader="none" w:pos="709"/>
        </w:tabs>
        <w:spacing w:after="120" w:before="120" w:lineRule="auto"/>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w:t>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dlolyb"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38">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3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sqyw64"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3A">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cqmetx" w:id="60"/>
      <w:bookmarkEnd w:id="60"/>
      <w:r w:rsidDel="00000000" w:rsidR="00000000" w:rsidRPr="00000000">
        <w:rPr>
          <w:rFonts w:ascii="Arial" w:cs="Arial" w:eastAsia="Arial" w:hAnsi="Arial"/>
          <w:color w:val="000000"/>
          <w:sz w:val="24"/>
          <w:szCs w:val="24"/>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3B">
      <w:pPr>
        <w:keepNext w:val="1"/>
        <w:numPr>
          <w:ilvl w:val="0"/>
          <w:numId w:val="1"/>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Sub-Contractors</w:t>
      </w:r>
      <w:r w:rsidDel="00000000" w:rsidR="00000000" w:rsidRPr="00000000">
        <w:rPr>
          <w:rtl w:val="0"/>
        </w:rPr>
      </w:r>
    </w:p>
    <w:p w:rsidR="00000000" w:rsidDel="00000000" w:rsidP="00000000" w:rsidRDefault="00000000" w:rsidRPr="00000000" w14:paraId="0000013C">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rvwp1q" w:id="61"/>
      <w:bookmarkEnd w:id="61"/>
      <w:r w:rsidDel="00000000" w:rsidR="00000000" w:rsidRPr="00000000">
        <w:rPr>
          <w:rFonts w:ascii="Arial" w:cs="Arial" w:eastAsia="Arial" w:hAnsi="Arial"/>
          <w:color w:val="000000"/>
          <w:sz w:val="24"/>
          <w:szCs w:val="24"/>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3D">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4bvk7pj" w:id="62"/>
      <w:bookmarkEnd w:id="62"/>
      <w:r w:rsidDel="00000000" w:rsidR="00000000" w:rsidRPr="00000000">
        <w:rPr>
          <w:rFonts w:ascii="Arial" w:cs="Arial" w:eastAsia="Arial" w:hAnsi="Arial"/>
          <w:color w:val="000000"/>
          <w:sz w:val="24"/>
          <w:szCs w:val="24"/>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3E">
      <w:pPr>
        <w:numPr>
          <w:ilvl w:val="2"/>
          <w:numId w:val="1"/>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r0uhxc" w:id="63"/>
      <w:bookmarkEnd w:id="63"/>
      <w:r w:rsidDel="00000000" w:rsidR="00000000" w:rsidRPr="00000000">
        <w:rPr>
          <w:rFonts w:ascii="Arial" w:cs="Arial" w:eastAsia="Arial" w:hAnsi="Arial"/>
          <w:color w:val="000000"/>
          <w:sz w:val="24"/>
          <w:szCs w:val="24"/>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3F">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664s55" w:id="64"/>
      <w:bookmarkEnd w:id="64"/>
      <w:r w:rsidDel="00000000" w:rsidR="00000000" w:rsidRPr="00000000">
        <w:rPr>
          <w:rFonts w:ascii="Arial" w:cs="Arial" w:eastAsia="Arial" w:hAnsi="Arial"/>
          <w:color w:val="000000"/>
          <w:sz w:val="24"/>
          <w:szCs w:val="24"/>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40">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spacing w:after="120" w:lineRule="auto"/>
        <w:jc w:val="left"/>
        <w:rPr>
          <w:rFonts w:ascii="Arial" w:cs="Arial" w:eastAsia="Arial" w:hAnsi="Arial"/>
          <w:b w:val="1"/>
          <w:sz w:val="36"/>
          <w:szCs w:val="36"/>
        </w:rPr>
      </w:pPr>
      <w:bookmarkStart w:colFirst="0" w:colLast="0" w:name="_heading=h.3q5sasy" w:id="65"/>
      <w:bookmarkEnd w:id="65"/>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42">
      <w:pPr>
        <w:spacing w:after="120"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43">
      <w:pPr>
        <w:keepNext w:val="1"/>
        <w:numPr>
          <w:ilvl w:val="0"/>
          <w:numId w:val="13"/>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44">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45">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Authority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4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Authority of that Fund for the purposes of the Local Government Pension Scheme Regulations 2013;</w:t>
            </w:r>
          </w:p>
        </w:tc>
      </w:tr>
      <w:tr>
        <w:trPr>
          <w:cantSplit w:val="0"/>
          <w:trHeight w:val="653" w:hRule="atLeast"/>
          <w:tblHeader w:val="0"/>
        </w:trPr>
        <w:tc>
          <w:tcPr>
            <w:shd w:fill="auto" w:val="clear"/>
          </w:tcPr>
          <w:p w:rsidR="00000000" w:rsidDel="00000000" w:rsidP="00000000" w:rsidRDefault="00000000" w:rsidRPr="00000000" w14:paraId="00000147">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48">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Authority of that Fund;</w:t>
            </w:r>
          </w:p>
        </w:tc>
      </w:tr>
      <w:tr>
        <w:trPr>
          <w:cantSplit w:val="0"/>
          <w:trHeight w:val="337" w:hRule="atLeast"/>
          <w:tblHeader w:val="0"/>
        </w:trPr>
        <w:tc>
          <w:tcPr>
            <w:shd w:fill="auto" w:val="clear"/>
          </w:tcPr>
          <w:p w:rsidR="00000000" w:rsidDel="00000000" w:rsidP="00000000" w:rsidRDefault="00000000" w:rsidRPr="00000000" w14:paraId="00000149">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4A">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4B">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4C">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4D">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4E">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Local Government Pension Scheme Regulations 2013;</w:t>
            </w:r>
          </w:p>
        </w:tc>
      </w:tr>
      <w:tr>
        <w:trPr>
          <w:cantSplit w:val="0"/>
          <w:trHeight w:val="900" w:hRule="atLeast"/>
          <w:tblHeader w:val="0"/>
        </w:trPr>
        <w:tc>
          <w:tcPr>
            <w:shd w:fill="auto" w:val="clear"/>
          </w:tcPr>
          <w:p w:rsidR="00000000" w:rsidDel="00000000" w:rsidP="00000000" w:rsidRDefault="00000000" w:rsidRPr="00000000" w14:paraId="0000014F">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0">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Local Government Pension Scheme Regulations 2013);</w:t>
            </w:r>
          </w:p>
        </w:tc>
      </w:tr>
      <w:tr>
        <w:trPr>
          <w:cantSplit w:val="0"/>
          <w:trHeight w:val="900" w:hRule="atLeast"/>
          <w:tblHeader w:val="0"/>
        </w:trPr>
        <w:tc>
          <w:tcPr>
            <w:shd w:fill="auto" w:val="clear"/>
          </w:tcPr>
          <w:p w:rsidR="00000000" w:rsidDel="00000000" w:rsidP="00000000" w:rsidRDefault="00000000" w:rsidRPr="00000000" w14:paraId="00000151">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2">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trPr>
          <w:cantSplit w:val="0"/>
          <w:trHeight w:val="1665" w:hRule="atLeast"/>
          <w:tblHeader w:val="0"/>
        </w:trPr>
        <w:tc>
          <w:tcPr>
            <w:shd w:fill="auto" w:val="clear"/>
          </w:tcPr>
          <w:p w:rsidR="00000000" w:rsidDel="00000000" w:rsidP="00000000" w:rsidRDefault="00000000" w:rsidRPr="00000000" w14:paraId="00000153">
            <w:pPr>
              <w:spacing w:after="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4">
            <w:pPr>
              <w:spacing w:after="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000000" w:rsidDel="00000000" w:rsidP="00000000" w:rsidRDefault="00000000" w:rsidRPr="00000000" w14:paraId="00000155">
      <w:pPr>
        <w:keepNext w:val="1"/>
        <w:numPr>
          <w:ilvl w:val="0"/>
          <w:numId w:val="13"/>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must become a LGPS admission body </w:t>
      </w:r>
    </w:p>
    <w:p w:rsidR="00000000" w:rsidDel="00000000" w:rsidP="00000000" w:rsidRDefault="00000000" w:rsidRPr="00000000" w14:paraId="00000156">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5b2l0r" w:id="66"/>
      <w:bookmarkEnd w:id="66"/>
      <w:r w:rsidDel="00000000" w:rsidR="00000000" w:rsidRPr="00000000">
        <w:rPr>
          <w:rFonts w:ascii="Arial" w:cs="Arial" w:eastAsia="Arial" w:hAnsi="Arial"/>
          <w:color w:val="000000"/>
          <w:sz w:val="24"/>
          <w:szCs w:val="24"/>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57">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58">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59">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automatically enrol or re-enrol for the purposes of the Pensions Act 2008 any LGPS Eligible Employees in any pension scheme other than the LGPS.</w:t>
      </w:r>
    </w:p>
    <w:p w:rsidR="00000000" w:rsidDel="00000000" w:rsidP="00000000" w:rsidRDefault="00000000" w:rsidRPr="00000000" w14:paraId="0000015A">
      <w:pPr>
        <w:keepNext w:val="1"/>
        <w:numPr>
          <w:ilvl w:val="0"/>
          <w:numId w:val="13"/>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Right of set-off </w:t>
      </w:r>
      <w:r w:rsidDel="00000000" w:rsidR="00000000" w:rsidRPr="00000000">
        <w:rPr>
          <w:rtl w:val="0"/>
        </w:rPr>
      </w:r>
    </w:p>
    <w:p w:rsidR="00000000" w:rsidDel="00000000" w:rsidP="00000000" w:rsidRDefault="00000000" w:rsidRPr="00000000" w14:paraId="0000015B">
      <w:pPr>
        <w:ind w:left="357" w:firstLine="0"/>
        <w:jc w:val="left"/>
        <w:rPr>
          <w:rFonts w:ascii="Arial" w:cs="Arial" w:eastAsia="Arial" w:hAnsi="Arial"/>
          <w:sz w:val="24"/>
          <w:szCs w:val="24"/>
        </w:rPr>
      </w:pPr>
      <w:bookmarkStart w:colFirst="0" w:colLast="0" w:name="_heading=h.kgcv8k" w:id="67"/>
      <w:bookmarkEnd w:id="67"/>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5C">
      <w:pPr>
        <w:keepNext w:val="1"/>
        <w:numPr>
          <w:ilvl w:val="0"/>
          <w:numId w:val="13"/>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bookmarkStart w:colFirst="0" w:colLast="0" w:name="_heading=h.34g0dwd" w:id="68"/>
      <w:bookmarkEnd w:id="68"/>
      <w:r w:rsidDel="00000000" w:rsidR="00000000" w:rsidRPr="00000000">
        <w:rPr>
          <w:rFonts w:ascii="Arial" w:cs="Arial" w:eastAsia="Arial" w:hAnsi="Arial"/>
          <w:b w:val="1"/>
          <w:color w:val="000000"/>
          <w:sz w:val="24"/>
          <w:szCs w:val="24"/>
          <w:rtl w:val="0"/>
        </w:rPr>
        <w:t xml:space="preserve">Supplier ceases to be an LGPS Admission Body</w:t>
      </w:r>
    </w:p>
    <w:p w:rsidR="00000000" w:rsidDel="00000000" w:rsidP="00000000" w:rsidRDefault="00000000" w:rsidRPr="00000000" w14:paraId="0000015D">
      <w:pPr>
        <w:ind w:left="357" w:firstLine="0"/>
        <w:jc w:val="left"/>
        <w:rPr>
          <w:rFonts w:ascii="Arial" w:cs="Arial" w:eastAsia="Arial" w:hAnsi="Arial"/>
          <w:sz w:val="24"/>
          <w:szCs w:val="24"/>
        </w:rPr>
      </w:pPr>
      <w:bookmarkStart w:colFirst="0" w:colLast="0" w:name="_heading=h.1jlao46" w:id="69"/>
      <w:bookmarkEnd w:id="69"/>
      <w:r w:rsidDel="00000000" w:rsidR="00000000" w:rsidRPr="00000000">
        <w:rPr>
          <w:rFonts w:ascii="Arial" w:cs="Arial" w:eastAsia="Arial" w:hAnsi="Arial"/>
          <w:sz w:val="24"/>
          <w:szCs w:val="24"/>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5E">
      <w:pPr>
        <w:keepNext w:val="1"/>
        <w:numPr>
          <w:ilvl w:val="0"/>
          <w:numId w:val="13"/>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color w:val="000000"/>
          <w:sz w:val="24"/>
          <w:szCs w:val="24"/>
        </w:rPr>
      </w:pPr>
      <w:bookmarkStart w:colFirst="0" w:colLast="0" w:name="_heading=h.43ky6rz" w:id="70"/>
      <w:bookmarkEnd w:id="70"/>
      <w:r w:rsidDel="00000000" w:rsidR="00000000" w:rsidRPr="00000000">
        <w:rPr>
          <w:rFonts w:ascii="Arial" w:cs="Arial" w:eastAsia="Arial" w:hAnsi="Arial"/>
          <w:b w:val="1"/>
          <w:color w:val="000000"/>
          <w:sz w:val="24"/>
          <w:szCs w:val="24"/>
          <w:rtl w:val="0"/>
        </w:rPr>
        <w:t xml:space="preserve">Discretionary benefits </w:t>
      </w:r>
    </w:p>
    <w:p w:rsidR="00000000" w:rsidDel="00000000" w:rsidP="00000000" w:rsidRDefault="00000000" w:rsidRPr="00000000" w14:paraId="0000015F">
      <w:pPr>
        <w:ind w:left="357" w:firstLine="0"/>
        <w:jc w:val="left"/>
        <w:rPr>
          <w:rFonts w:ascii="Arial" w:cs="Arial" w:eastAsia="Arial" w:hAnsi="Arial"/>
          <w:sz w:val="24"/>
          <w:szCs w:val="24"/>
        </w:rPr>
      </w:pPr>
      <w:bookmarkStart w:colFirst="0" w:colLast="0" w:name="_heading=h.2iq8gzs" w:id="71"/>
      <w:bookmarkEnd w:id="71"/>
      <w:r w:rsidDel="00000000" w:rsidR="00000000" w:rsidRPr="00000000">
        <w:rPr>
          <w:rFonts w:ascii="Arial" w:cs="Arial" w:eastAsia="Arial" w:hAnsi="Arial"/>
          <w:sz w:val="24"/>
          <w:szCs w:val="24"/>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60">
      <w:pPr>
        <w:spacing w:after="120" w:lineRule="auto"/>
        <w:jc w:val="left"/>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before="120" w:lineRule="auto"/>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162">
      <w:pPr>
        <w:keepNext w:val="1"/>
        <w:numPr>
          <w:ilvl w:val="0"/>
          <w:numId w:val="14"/>
        </w:numPr>
        <w:pBdr>
          <w:top w:space="0" w:sz="0" w:val="nil"/>
          <w:left w:space="0" w:sz="0" w:val="nil"/>
          <w:bottom w:space="0" w:sz="0" w:val="nil"/>
          <w:right w:space="0" w:sz="0" w:val="nil"/>
          <w:between w:space="0" w:sz="0" w:val="nil"/>
        </w:pBdr>
        <w:spacing w:before="120" w:lineRule="auto"/>
        <w:ind w:left="357" w:hanging="357"/>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163">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xvir7l" w:id="72"/>
      <w:bookmarkEnd w:id="72"/>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164">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hv69ve" w:id="73"/>
      <w:bookmarkEnd w:id="73"/>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165">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1x0gk37" w:id="74"/>
      <w:bookmarkEnd w:id="74"/>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166">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167">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68">
      <w:pPr>
        <w:pBdr>
          <w:top w:space="0" w:sz="0" w:val="nil"/>
          <w:left w:space="0" w:sz="0" w:val="nil"/>
          <w:bottom w:space="0" w:sz="0" w:val="nil"/>
          <w:right w:space="0" w:sz="0" w:val="nil"/>
          <w:between w:space="0" w:sz="0" w:val="nil"/>
        </w:pBdr>
        <w:ind w:left="99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69">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h042r0" w:id="75"/>
      <w:bookmarkEnd w:id="75"/>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6A">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6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6C">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before="120" w:lineRule="auto"/>
        <w:ind w:left="2214" w:hanging="807.0000000000002"/>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before="120" w:lineRule="auto"/>
        <w:ind w:left="2214" w:hanging="807.00000000000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before="120" w:lineRule="auto"/>
        <w:ind w:left="993" w:hanging="80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000000" w:rsidDel="00000000" w:rsidP="00000000" w:rsidRDefault="00000000" w:rsidRPr="00000000" w14:paraId="00000170">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increase the proportion of working time spent on the Services (or the relevant part of the Services) by any of the Supplier Personnel save for fulfilling assignments and projects previously scheduled and agreed;</w:t>
      </w:r>
    </w:p>
    <w:p w:rsidR="00000000" w:rsidDel="00000000" w:rsidP="00000000" w:rsidRDefault="00000000" w:rsidRPr="00000000" w14:paraId="00000171">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72">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73">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74">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75">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76">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77">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78">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79">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7A">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fully fund any Broadly Comparable pension schemes set up by the Supplier;</w:t>
      </w:r>
    </w:p>
    <w:p w:rsidR="00000000" w:rsidDel="00000000" w:rsidP="00000000" w:rsidRDefault="00000000" w:rsidRPr="00000000" w14:paraId="0000017B">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7C">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7D">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7E">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00000" w:rsidDel="00000000" w:rsidP="00000000" w:rsidRDefault="00000000" w:rsidRPr="00000000" w14:paraId="0000017F">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180">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181">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Fair Deal Schemes (as defined in Part D: Pensions); and</w:t>
      </w:r>
    </w:p>
    <w:p w:rsidR="00000000" w:rsidDel="00000000" w:rsidP="00000000" w:rsidRDefault="00000000" w:rsidRPr="00000000" w14:paraId="00000182">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183">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84">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185">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186">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187">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188">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189">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18A">
      <w:pPr>
        <w:keepNext w:val="1"/>
        <w:numPr>
          <w:ilvl w:val="0"/>
          <w:numId w:val="14"/>
        </w:numPr>
        <w:pBdr>
          <w:top w:space="0" w:sz="0" w:val="nil"/>
          <w:left w:space="0" w:sz="0" w:val="nil"/>
          <w:bottom w:space="0" w:sz="0" w:val="nil"/>
          <w:right w:space="0" w:sz="0" w:val="nil"/>
          <w:between w:space="0" w:sz="0" w:val="nil"/>
        </w:pBdr>
        <w:spacing w:before="120" w:lineRule="auto"/>
        <w:ind w:left="720" w:hanging="72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18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8C">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8D">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w5ecyt" w:id="76"/>
      <w:bookmarkEnd w:id="76"/>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8E">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baon6m" w:id="77"/>
      <w:bookmarkEnd w:id="77"/>
      <w:r w:rsidDel="00000000" w:rsidR="00000000" w:rsidRPr="00000000">
        <w:rPr>
          <w:rFonts w:ascii="Arial" w:cs="Arial" w:eastAsia="Arial" w:hAnsi="Arial"/>
          <w:color w:val="000000"/>
          <w:sz w:val="24"/>
          <w:szCs w:val="24"/>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8F">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3vac5uf" w:id="78"/>
      <w:bookmarkEnd w:id="78"/>
      <w:r w:rsidDel="00000000" w:rsidR="00000000" w:rsidRPr="00000000">
        <w:rPr>
          <w:rFonts w:ascii="Arial" w:cs="Arial" w:eastAsia="Arial" w:hAnsi="Arial"/>
          <w:color w:val="000000"/>
          <w:sz w:val="24"/>
          <w:szCs w:val="24"/>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90">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2afmg28" w:id="79"/>
      <w:bookmarkEnd w:id="79"/>
      <w:r w:rsidDel="00000000" w:rsidR="00000000" w:rsidRPr="00000000">
        <w:rPr>
          <w:rFonts w:ascii="Arial" w:cs="Arial" w:eastAsia="Arial" w:hAnsi="Arial"/>
          <w:color w:val="000000"/>
          <w:sz w:val="24"/>
          <w:szCs w:val="24"/>
          <w:rtl w:val="0"/>
        </w:rPr>
        <w:t xml:space="preserve">the Replacement Supplier and/or Replacement Sub-contractor will, within 5 Working Days of becoming aware of that fact, notify the Buyer and the Supplier in writing;</w:t>
      </w:r>
    </w:p>
    <w:p w:rsidR="00000000" w:rsidDel="00000000" w:rsidP="00000000" w:rsidRDefault="00000000" w:rsidRPr="00000000" w14:paraId="00000191">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pkwqa1" w:id="80"/>
      <w:bookmarkEnd w:id="80"/>
      <w:r w:rsidDel="00000000" w:rsidR="00000000" w:rsidRPr="00000000">
        <w:rPr>
          <w:rFonts w:ascii="Arial" w:cs="Arial" w:eastAsia="Arial" w:hAnsi="Arial"/>
          <w:color w:val="000000"/>
          <w:sz w:val="24"/>
          <w:szCs w:val="24"/>
          <w:rtl w:val="0"/>
        </w:rPr>
        <w:t xml:space="preserve">the Supplier may offer employment to such person, or take such other steps as it considered appropriate to resolve the matter, within 10 Working Days of receipt of notice from the Replacement Supplier and/or Replacement Sub-contractor;</w:t>
      </w:r>
    </w:p>
    <w:p w:rsidR="00000000" w:rsidDel="00000000" w:rsidP="00000000" w:rsidRDefault="00000000" w:rsidRPr="00000000" w14:paraId="00000192">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93">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bookmarkStart w:colFirst="0" w:colLast="0" w:name="_heading=h.39kk8xu" w:id="81"/>
      <w:bookmarkEnd w:id="81"/>
      <w:r w:rsidDel="00000000" w:rsidR="00000000" w:rsidRPr="00000000">
        <w:rPr>
          <w:rFonts w:ascii="Arial" w:cs="Arial" w:eastAsia="Arial" w:hAnsi="Arial"/>
          <w:color w:val="000000"/>
          <w:sz w:val="24"/>
          <w:szCs w:val="24"/>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94">
      <w:pPr>
        <w:pStyle w:val="Heading3"/>
        <w:keepLines w:val="0"/>
        <w:numPr>
          <w:ilvl w:val="2"/>
          <w:numId w:val="9"/>
        </w:numPr>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000000" w:rsidDel="00000000" w:rsidP="00000000" w:rsidRDefault="00000000" w:rsidRPr="00000000" w14:paraId="00000195">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opuj5n" w:id="82"/>
      <w:bookmarkEnd w:id="82"/>
      <w:r w:rsidDel="00000000" w:rsidR="00000000" w:rsidRPr="00000000">
        <w:rPr>
          <w:rFonts w:ascii="Arial" w:cs="Arial" w:eastAsia="Arial" w:hAnsi="Arial"/>
          <w:color w:val="000000"/>
          <w:sz w:val="24"/>
          <w:szCs w:val="24"/>
          <w:rtl w:val="0"/>
        </w:rPr>
        <w:t xml:space="preserve">The indemnity in Paragraph 2.5 shall not apply to:</w:t>
      </w:r>
    </w:p>
    <w:p w:rsidR="00000000" w:rsidDel="00000000" w:rsidP="00000000" w:rsidRDefault="00000000" w:rsidRPr="00000000" w14:paraId="00000196">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97">
      <w:pPr>
        <w:numPr>
          <w:ilvl w:val="2"/>
          <w:numId w:val="14"/>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98">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48pi1tg" w:id="83"/>
      <w:bookmarkEnd w:id="83"/>
      <w:r w:rsidDel="00000000" w:rsidR="00000000" w:rsidRPr="00000000">
        <w:rPr>
          <w:rFonts w:ascii="Arial" w:cs="Arial" w:eastAsia="Arial" w:hAnsi="Arial"/>
          <w:color w:val="000000"/>
          <w:sz w:val="24"/>
          <w:szCs w:val="24"/>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99">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9A">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2nusc19" w:id="84"/>
      <w:bookmarkEnd w:id="84"/>
      <w:r w:rsidDel="00000000" w:rsidR="00000000" w:rsidRPr="00000000">
        <w:rPr>
          <w:rFonts w:ascii="Arial" w:cs="Arial" w:eastAsia="Arial" w:hAnsi="Arial"/>
          <w:color w:val="000000"/>
          <w:sz w:val="24"/>
          <w:szCs w:val="24"/>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9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jc w:val="left"/>
        <w:rPr>
          <w:rFonts w:ascii="Arial" w:cs="Arial" w:eastAsia="Arial" w:hAnsi="Arial"/>
          <w:color w:val="000000"/>
          <w:sz w:val="24"/>
          <w:szCs w:val="24"/>
        </w:rPr>
      </w:pPr>
      <w:bookmarkStart w:colFirst="0" w:colLast="0" w:name="_heading=h.1302m92" w:id="85"/>
      <w:bookmarkEnd w:id="85"/>
      <w:r w:rsidDel="00000000" w:rsidR="00000000" w:rsidRPr="00000000">
        <w:rPr>
          <w:rFonts w:ascii="Arial" w:cs="Arial" w:eastAsia="Arial" w:hAnsi="Arial"/>
          <w:color w:val="000000"/>
          <w:sz w:val="24"/>
          <w:szCs w:val="24"/>
          <w:rtl w:val="0"/>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9C">
      <w:pPr>
        <w:keepNext w:val="1"/>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357" w:hanging="357"/>
        <w:jc w:val="left"/>
        <w:rPr>
          <w:b w:val="1"/>
          <w:smallCaps w:val="1"/>
          <w:color w:val="000000"/>
        </w:rPr>
      </w:pPr>
      <w:bookmarkStart w:colFirst="0" w:colLast="0" w:name="_heading=h.30j0zll" w:id="86"/>
      <w:bookmarkEnd w:id="86"/>
      <w:r w:rsidDel="00000000" w:rsidR="00000000" w:rsidRPr="00000000">
        <w:rPr>
          <w:rFonts w:ascii="Arial" w:cs="Arial" w:eastAsia="Arial" w:hAnsi="Arial"/>
          <w:color w:val="000000"/>
          <w:sz w:val="24"/>
          <w:szCs w:val="24"/>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A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A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B">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0">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ind w:left="1440" w:hanging="720"/>
    </w:pPr>
    <w:rPr>
      <w:rFonts w:ascii="Trebuchet MS" w:cs="Trebuchet MS" w:eastAsia="Trebuchet MS" w:hAnsi="Trebuchet MS"/>
      <w:b w:val="1"/>
    </w:rPr>
  </w:style>
  <w:style w:type="paragraph" w:styleId="Heading3">
    <w:name w:val="heading 3"/>
    <w:basedOn w:val="Normal"/>
    <w:next w:val="Normal"/>
    <w:pPr>
      <w:keepLines w:val="1"/>
      <w:ind w:left="2160" w:hanging="720"/>
    </w:pPr>
    <w:rPr>
      <w:rFonts w:ascii="Trebuchet MS" w:cs="Trebuchet MS" w:eastAsia="Trebuchet MS" w:hAnsi="Trebuchet MS"/>
    </w:rPr>
  </w:style>
  <w:style w:type="paragraph" w:styleId="Heading4">
    <w:name w:val="heading 4"/>
    <w:basedOn w:val="Normal"/>
    <w:next w:val="Normal"/>
    <w:pPr>
      <w:keepLines w:val="1"/>
      <w:ind w:left="2160" w:hanging="720"/>
    </w:pPr>
    <w:rPr>
      <w:rFonts w:ascii="Trebuchet MS" w:cs="Trebuchet MS" w:eastAsia="Trebuchet MS" w:hAnsi="Trebuchet MS"/>
    </w:rPr>
  </w:style>
  <w:style w:type="paragraph" w:styleId="Heading5">
    <w:name w:val="heading 5"/>
    <w:basedOn w:val="Normal"/>
    <w:next w:val="Normal"/>
    <w:pPr>
      <w:keepLines w:val="1"/>
      <w:ind w:left="2160" w:hanging="720"/>
    </w:pPr>
    <w:rPr>
      <w:rFonts w:ascii="Trebuchet MS" w:cs="Trebuchet MS" w:eastAsia="Trebuchet MS" w:hAnsi="Trebuchet MS"/>
    </w:rPr>
  </w:style>
  <w:style w:type="paragraph" w:styleId="Heading6">
    <w:name w:val="heading 6"/>
    <w:basedOn w:val="Normal"/>
    <w:next w:val="Normal"/>
    <w:pPr>
      <w:keepLines w:val="0"/>
      <w:spacing w:line="360" w:lineRule="auto"/>
      <w:ind w:left="2160" w:hanging="720"/>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pPr>
      <w:numPr>
        <w:numId w:val="17"/>
      </w:num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pPr>
      <w:keepNext w:val="1"/>
      <w:keepLines w:val="1"/>
      <w:numPr>
        <w:ilvl w:val="1"/>
        <w:numId w:val="17"/>
      </w:numPr>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pPr>
      <w:keepLines w:val="1"/>
      <w:numPr>
        <w:ilvl w:val="2"/>
        <w:numId w:val="17"/>
      </w:numPr>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overflowPunct w:val="1"/>
      <w:autoSpaceDE w:val="1"/>
      <w:autoSpaceDN w:val="1"/>
      <w:spacing w:before="120"/>
      <w:ind w:left="357" w:hanging="357"/>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tabs>
        <w:tab w:val="left" w:pos="993"/>
        <w:tab w:val="num" w:pos="1440"/>
      </w:tabs>
      <w:overflowPunct w:val="1"/>
      <w:autoSpaceDE w:val="1"/>
      <w:autoSpaceDN w:val="1"/>
      <w:spacing w:after="120" w:before="120"/>
      <w:ind w:left="992" w:hanging="635"/>
      <w:textAlignment w:val="auto"/>
      <w:outlineLvl w:val="1"/>
    </w:pPr>
    <w:rPr>
      <w:rFonts w:cs="Times New Roman" w:eastAsia="STZhongsong"/>
      <w:szCs w:val="20"/>
      <w:lang w:eastAsia="zh-CN" w:val="en-US"/>
    </w:rPr>
  </w:style>
  <w:style w:type="character" w:styleId="ScheduleL2Char" w:customStyle="1">
    <w:name w:val="Schedule L2 Char"/>
    <w:link w:val="ScheduleL2"/>
    <w:rPr>
      <w:rFonts w:cs="Times New Roman" w:eastAsia="STZhongsong"/>
      <w:szCs w:val="20"/>
      <w:lang w:eastAsia="zh-CN" w:val="en-US"/>
    </w:rPr>
  </w:style>
  <w:style w:type="paragraph" w:styleId="ScheduleL3" w:customStyle="1">
    <w:name w:val="Schedule L3"/>
    <w:basedOn w:val="Normal"/>
    <w:pPr>
      <w:tabs>
        <w:tab w:val="num" w:pos="2160"/>
      </w:tabs>
      <w:overflowPunct w:val="1"/>
      <w:autoSpaceDE w:val="1"/>
      <w:autoSpaceDN w:val="1"/>
      <w:spacing w:after="120" w:before="120"/>
      <w:ind w:left="2160" w:hanging="807"/>
      <w:textAlignment w:val="auto"/>
      <w:outlineLvl w:val="2"/>
    </w:pPr>
    <w:rPr>
      <w:rFonts w:cs="Times New Roman" w:eastAsia="STZhongsong"/>
      <w:szCs w:val="20"/>
      <w:lang w:eastAsia="zh-CN"/>
    </w:rPr>
  </w:style>
  <w:style w:type="paragraph" w:styleId="ScheduleL4" w:customStyle="1">
    <w:name w:val="Schedule L4"/>
    <w:basedOn w:val="Normal"/>
    <w:pPr>
      <w:tabs>
        <w:tab w:val="num" w:pos="2880"/>
      </w:tabs>
      <w:overflowPunct w:val="1"/>
      <w:autoSpaceDE w:val="1"/>
      <w:autoSpaceDN w:val="1"/>
      <w:spacing w:after="120" w:before="120"/>
      <w:ind w:left="2880" w:hanging="720"/>
      <w:textAlignment w:val="auto"/>
      <w:outlineLvl w:val="3"/>
    </w:pPr>
    <w:rPr>
      <w:rFonts w:cs="Times New Roman" w:eastAsia="STZhongsong"/>
      <w:szCs w:val="20"/>
      <w:lang w:eastAsia="zh-CN"/>
    </w:rPr>
  </w:style>
  <w:style w:type="paragraph" w:styleId="ScheduleL5" w:customStyle="1">
    <w:name w:val="Schedule L5"/>
    <w:basedOn w:val="Normal"/>
    <w:pPr>
      <w:tabs>
        <w:tab w:val="num" w:pos="3600"/>
      </w:tabs>
      <w:overflowPunct w:val="1"/>
      <w:autoSpaceDE w:val="1"/>
      <w:autoSpaceDN w:val="1"/>
      <w:ind w:left="3600" w:hanging="720"/>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8"/>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8"/>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8"/>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8"/>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10"/>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10"/>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11"/>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11"/>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11"/>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11"/>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12"/>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12"/>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3"/>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tabs>
        <w:tab w:val="left" w:pos="142"/>
        <w:tab w:val="num" w:pos="720"/>
      </w:tabs>
      <w:overflowPunct w:val="1"/>
      <w:autoSpaceDE w:val="1"/>
      <w:autoSpaceDN w:val="1"/>
      <w:spacing w:before="120"/>
      <w:ind w:left="720" w:hanging="7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tabs>
        <w:tab w:val="left" w:pos="1985"/>
        <w:tab w:val="num" w:pos="2160"/>
      </w:tabs>
      <w:overflowPunct w:val="1"/>
      <w:autoSpaceDE w:val="1"/>
      <w:autoSpaceDN w:val="1"/>
      <w:spacing w:after="120" w:before="120"/>
      <w:ind w:left="2160" w:hanging="7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 w:val="num" w:pos="2160"/>
      </w:tabs>
      <w:ind w:left="2160" w:hanging="720"/>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num" w:pos="2160"/>
        <w:tab w:val="left" w:pos="3119"/>
      </w:tabs>
      <w:ind w:left="2160" w:hanging="720"/>
    </w:pPr>
  </w:style>
  <w:style w:type="paragraph" w:styleId="GPSL6numbered" w:customStyle="1">
    <w:name w:val="GPS L6 numbered"/>
    <w:basedOn w:val="GPSL5numberedclause"/>
    <w:uiPriority w:val="99"/>
    <w:qFormat w:val="1"/>
    <w:pPr>
      <w:numPr>
        <w:ilvl w:val="5"/>
      </w:numPr>
      <w:tabs>
        <w:tab w:val="num" w:pos="2160"/>
        <w:tab w:val="left" w:pos="3686"/>
      </w:tabs>
      <w:ind w:left="2160" w:hanging="720"/>
    </w:pPr>
  </w:style>
  <w:style w:type="character" w:styleId="GPSL3numberedclauseChar" w:customStyle="1">
    <w:name w:val="GPS L3 numbered clause Char"/>
    <w:link w:val="GPSL3numberedclause"/>
    <w:rPr>
      <w:rFonts w:cs="Arial" w:eastAsia="Times New Roman"/>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tabs>
        <w:tab w:val="clear" w:pos="1134"/>
        <w:tab w:val="clear" w:pos="1440"/>
      </w:tabs>
      <w:ind w:left="0" w:firstLine="0"/>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tabs>
        <w:tab w:val="clear" w:pos="720"/>
      </w:tabs>
      <w:ind w:left="0" w:firstLine="0"/>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tabs>
        <w:tab w:val="left" w:pos="1134"/>
        <w:tab w:val="num" w:pos="1440"/>
      </w:tabs>
      <w:overflowPunct w:val="1"/>
      <w:autoSpaceDE w:val="1"/>
      <w:autoSpaceDN w:val="1"/>
      <w:spacing w:after="120" w:before="120"/>
      <w:ind w:left="1440" w:hanging="720"/>
      <w:textAlignment w:val="auto"/>
    </w:pPr>
    <w:rPr>
      <w:b w:val="1"/>
      <w:lang w:eastAsia="zh-CN"/>
    </w:rPr>
  </w:style>
  <w:style w:type="paragraph" w:styleId="GPsDefinition" w:customStyle="1">
    <w:name w:val="GPs Definition"/>
    <w:basedOn w:val="Normal"/>
    <w:uiPriority w:val="99"/>
    <w:qFormat w:val="1"/>
    <w:pPr>
      <w:tabs>
        <w:tab w:val="left" w:pos="175"/>
        <w:tab w:val="num" w:pos="720"/>
      </w:tabs>
      <w:spacing w:after="120"/>
      <w:ind w:left="720" w:hanging="720"/>
    </w:pPr>
  </w:style>
  <w:style w:type="paragraph" w:styleId="GPSDefinitionL2" w:customStyle="1">
    <w:name w:val="GPS Definition L2"/>
    <w:basedOn w:val="GPsDefinition"/>
    <w:uiPriority w:val="99"/>
    <w:qFormat w:val="1"/>
    <w:pPr>
      <w:numPr>
        <w:ilvl w:val="1"/>
      </w:numPr>
      <w:tabs>
        <w:tab w:val="num" w:pos="720"/>
      </w:tabs>
      <w:ind w:left="720" w:hanging="720"/>
    </w:pPr>
  </w:style>
  <w:style w:type="paragraph" w:styleId="GPSDefinitionL3" w:customStyle="1">
    <w:name w:val="GPS Definition L3"/>
    <w:basedOn w:val="GPSDefinitionL2"/>
    <w:uiPriority w:val="99"/>
    <w:qFormat w:val="1"/>
    <w:pPr>
      <w:numPr>
        <w:ilvl w:val="2"/>
      </w:numPr>
      <w:tabs>
        <w:tab w:val="num" w:pos="720"/>
      </w:tabs>
      <w:ind w:left="720" w:hanging="720"/>
    </w:pPr>
  </w:style>
  <w:style w:type="paragraph" w:styleId="GPSDefinitionL4" w:customStyle="1">
    <w:name w:val="GPS Definition L4"/>
    <w:basedOn w:val="GPSDefinitionL3"/>
    <w:uiPriority w:val="99"/>
    <w:qFormat w:val="1"/>
    <w:pPr>
      <w:numPr>
        <w:ilvl w:val="3"/>
      </w:numPr>
      <w:tabs>
        <w:tab w:val="num" w:pos="720"/>
      </w:tabs>
      <w:ind w:left="720" w:hanging="720"/>
    </w:pPr>
  </w:style>
  <w:style w:type="character" w:styleId="GPSL1CLAUSEHEADINGChar" w:customStyle="1">
    <w:name w:val="GPS L1 CLAUSE HEADING Char"/>
    <w:link w:val="GPSL1CLAUSEHEADING"/>
    <w:uiPriority w:val="99"/>
    <w:rPr>
      <w:rFonts w:cs="Arial" w:eastAsia="STZhongsong"/>
      <w:b w:val="1"/>
      <w:caps w:val="1"/>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Rn8+sPBAXHm+IbRCBSSJBDfMlQ==">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MwajB6bGw4AHIhMXh6YWZBQzFPSzcxenVlX3ZhaDZuMzM5ZlpnZE5JTU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2025-02-07T13:43:00Z</dcterms:created>
  <dc:creator>Julia Medd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